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C" w:rsidRPr="00322B4A" w:rsidRDefault="0077446C" w:rsidP="0077446C">
      <w:pPr>
        <w:jc w:val="center"/>
        <w:rPr>
          <w:sz w:val="28"/>
          <w:szCs w:val="28"/>
        </w:rPr>
      </w:pPr>
      <w:r w:rsidRPr="00322B4A">
        <w:rPr>
          <w:noProof/>
          <w:sz w:val="28"/>
          <w:szCs w:val="28"/>
          <w:lang w:eastAsia="ja-JP"/>
        </w:rPr>
        <w:drawing>
          <wp:inline distT="0" distB="0" distL="0" distR="0" wp14:anchorId="34625FD6" wp14:editId="3D035BB3">
            <wp:extent cx="742255" cy="1008000"/>
            <wp:effectExtent l="19050" t="0" r="695" b="0"/>
            <wp:docPr id="2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6C" w:rsidRPr="00D4085C" w:rsidRDefault="0077446C" w:rsidP="0077446C">
      <w:pPr>
        <w:spacing w:after="0" w:line="240" w:lineRule="auto"/>
        <w:jc w:val="center"/>
        <w:rPr>
          <w:rFonts w:eastAsiaTheme="minorHAnsi" w:cs="Arial"/>
          <w:b/>
          <w:sz w:val="32"/>
          <w:szCs w:val="32"/>
          <w:lang w:eastAsia="ja-JP"/>
        </w:rPr>
      </w:pPr>
      <w:r w:rsidRPr="00566E85">
        <w:rPr>
          <w:b/>
          <w:sz w:val="32"/>
          <w:szCs w:val="32"/>
        </w:rPr>
        <w:t>GRAD UMAG – CITT</w:t>
      </w:r>
      <w:r w:rsidRPr="00D4085C">
        <w:rPr>
          <w:rFonts w:eastAsiaTheme="minorHAnsi" w:cs="Arial"/>
          <w:b/>
          <w:sz w:val="32"/>
          <w:szCs w:val="32"/>
          <w:lang w:eastAsia="ja-JP"/>
        </w:rPr>
        <w:t xml:space="preserve">À DI UMAGO </w:t>
      </w:r>
    </w:p>
    <w:p w:rsidR="0077446C" w:rsidRPr="00D4085C" w:rsidRDefault="00CC1D9B" w:rsidP="0077446C">
      <w:pPr>
        <w:spacing w:after="0" w:line="240" w:lineRule="auto"/>
        <w:jc w:val="center"/>
        <w:rPr>
          <w:rFonts w:eastAsiaTheme="minorHAnsi" w:cs="Arial"/>
          <w:sz w:val="24"/>
          <w:szCs w:val="24"/>
          <w:lang w:eastAsia="ja-JP"/>
        </w:rPr>
      </w:pPr>
      <w:r>
        <w:rPr>
          <w:b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2.45pt;width:507.1pt;height:85.1pt;z-index:251660288;mso-position-horizontal:center;mso-width-relative:margin;mso-height-relative:margin;v-text-anchor:middle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817CC3" w:rsidRDefault="00EB5945" w:rsidP="00614CB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17CC3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OBAVJEŠTAVAJU SE RODITELJI I UČENICI DA ĆE GRAD UMAG </w:t>
                  </w:r>
                  <w:r w:rsidRPr="00817CC3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IZNAD STANDARDA I NADALJE</w:t>
                  </w:r>
                  <w:r w:rsidRPr="00817CC3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SUDJELOVATI U SUFINANCIRANJU CIJENE MJESEČNE KARTE ZA RAZDOBLJE </w:t>
                  </w:r>
                </w:p>
                <w:p w:rsidR="00EB5945" w:rsidRPr="00817CC3" w:rsidRDefault="007C5721" w:rsidP="00614C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17CC3">
                    <w:rPr>
                      <w:b/>
                      <w:color w:val="FFFFFF" w:themeColor="background1"/>
                      <w:sz w:val="24"/>
                      <w:szCs w:val="24"/>
                    </w:rPr>
                    <w:t>RUJAN-PROSINAC</w:t>
                  </w:r>
                  <w:r w:rsidR="00EB5945" w:rsidRPr="00817CC3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201</w:t>
                  </w:r>
                  <w:r w:rsidR="00323316">
                    <w:rPr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  <w:r w:rsidR="00EB5945" w:rsidRPr="00817CC3">
                    <w:rPr>
                      <w:b/>
                      <w:color w:val="FFFFFF" w:themeColor="background1"/>
                      <w:sz w:val="24"/>
                      <w:szCs w:val="24"/>
                    </w:rPr>
                    <w:t>. GODINE.</w:t>
                  </w:r>
                </w:p>
              </w:txbxContent>
            </v:textbox>
          </v:shape>
        </w:pict>
      </w:r>
    </w:p>
    <w:p w:rsidR="0077446C" w:rsidRDefault="0077446C" w:rsidP="0077446C">
      <w:pPr>
        <w:jc w:val="center"/>
        <w:rPr>
          <w:b/>
        </w:rPr>
      </w:pPr>
    </w:p>
    <w:p w:rsidR="00566E85" w:rsidRPr="00566E85" w:rsidRDefault="00566E85" w:rsidP="0077446C">
      <w:pPr>
        <w:jc w:val="center"/>
        <w:rPr>
          <w:b/>
        </w:rPr>
      </w:pPr>
    </w:p>
    <w:p w:rsidR="00EB5945" w:rsidRPr="00322B4A" w:rsidRDefault="00EB5945" w:rsidP="0077446C">
      <w:pPr>
        <w:jc w:val="center"/>
        <w:rPr>
          <w:b/>
          <w:sz w:val="24"/>
          <w:szCs w:val="24"/>
        </w:rPr>
      </w:pPr>
    </w:p>
    <w:p w:rsidR="0077446C" w:rsidRPr="00322B4A" w:rsidRDefault="0077446C" w:rsidP="0077446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C34686" w:rsidRDefault="0077446C" w:rsidP="00C34686">
      <w:pPr>
        <w:jc w:val="both"/>
        <w:rPr>
          <w:sz w:val="24"/>
          <w:szCs w:val="24"/>
        </w:rPr>
      </w:pPr>
      <w:r w:rsidRPr="00322B4A">
        <w:rPr>
          <w:sz w:val="24"/>
          <w:szCs w:val="24"/>
        </w:rPr>
        <w:tab/>
      </w:r>
      <w:bookmarkStart w:id="0" w:name="OLE_LINK4"/>
      <w:bookmarkStart w:id="1" w:name="OLE_LINK5"/>
    </w:p>
    <w:p w:rsidR="00CE4A37" w:rsidRDefault="00BE4BB6" w:rsidP="008304AC">
      <w:pPr>
        <w:jc w:val="both"/>
        <w:rPr>
          <w:szCs w:val="24"/>
        </w:rPr>
      </w:pPr>
      <w:r w:rsidRPr="00D4085C">
        <w:rPr>
          <w:b/>
          <w:sz w:val="24"/>
          <w:szCs w:val="24"/>
          <w:highlight w:val="lightGray"/>
          <w:u w:val="single"/>
        </w:rPr>
        <w:t xml:space="preserve">PRAVO NA SUFINANCIRANJE GRADA UMAGA </w:t>
      </w:r>
      <w:bookmarkEnd w:id="0"/>
      <w:bookmarkEnd w:id="1"/>
      <w:r w:rsidR="00D4085C" w:rsidRPr="00D4085C">
        <w:rPr>
          <w:b/>
          <w:szCs w:val="24"/>
        </w:rPr>
        <w:t xml:space="preserve"> </w:t>
      </w:r>
      <w:r w:rsidR="00D4085C" w:rsidRPr="00C34686">
        <w:rPr>
          <w:sz w:val="24"/>
          <w:szCs w:val="24"/>
        </w:rPr>
        <w:t xml:space="preserve">ostvaruju </w:t>
      </w:r>
      <w:r w:rsidR="00D4085C" w:rsidRPr="00C34686">
        <w:rPr>
          <w:sz w:val="24"/>
          <w:szCs w:val="24"/>
        </w:rPr>
        <w:t xml:space="preserve"> redoviti učenici srednjih škola koji imaju prebivalište na području Grada Umaga</w:t>
      </w:r>
      <w:r w:rsidR="00C34686" w:rsidRPr="00C34686">
        <w:rPr>
          <w:sz w:val="24"/>
          <w:szCs w:val="24"/>
        </w:rPr>
        <w:t>.</w:t>
      </w:r>
      <w:r w:rsidR="00D4085C" w:rsidRPr="00C34686">
        <w:rPr>
          <w:sz w:val="24"/>
          <w:szCs w:val="24"/>
        </w:rPr>
        <w:t xml:space="preserve"> </w:t>
      </w:r>
    </w:p>
    <w:p w:rsidR="00837E17" w:rsidRDefault="00837E17" w:rsidP="00837E17">
      <w:pPr>
        <w:spacing w:after="0" w:line="240" w:lineRule="auto"/>
        <w:jc w:val="both"/>
        <w:rPr>
          <w:sz w:val="24"/>
          <w:szCs w:val="24"/>
        </w:rPr>
      </w:pPr>
      <w:r>
        <w:tab/>
      </w:r>
      <w:r w:rsidRPr="00837E17">
        <w:rPr>
          <w:sz w:val="24"/>
          <w:szCs w:val="24"/>
        </w:rPr>
        <w:t xml:space="preserve">Grad Umag će sudjelovati iznad standarda u sufinanciranju jednoga dijela cijene mjesečne učeničke karte koja nije </w:t>
      </w:r>
      <w:bookmarkStart w:id="2" w:name="OLE_LINK10"/>
      <w:bookmarkStart w:id="3" w:name="OLE_LINK11"/>
      <w:r w:rsidRPr="00837E17">
        <w:rPr>
          <w:sz w:val="24"/>
          <w:szCs w:val="24"/>
        </w:rPr>
        <w:t>obuhvaćena Odlukom Vlade Republike Hrvatske o kriterijima i načinu financiranja troškova javnog prijevoza redovitih učenika srednjih škola u razdoblju rujan-prosinac 2015. godine.</w:t>
      </w:r>
      <w:r w:rsidR="00C34686">
        <w:rPr>
          <w:sz w:val="24"/>
          <w:szCs w:val="24"/>
        </w:rPr>
        <w:t xml:space="preserve"> </w:t>
      </w:r>
    </w:p>
    <w:p w:rsidR="00C34686" w:rsidRDefault="00837E17" w:rsidP="00837E17">
      <w:pPr>
        <w:spacing w:after="0" w:line="240" w:lineRule="auto"/>
        <w:jc w:val="both"/>
        <w:rPr>
          <w:sz w:val="24"/>
          <w:szCs w:val="24"/>
        </w:rPr>
      </w:pPr>
      <w:r w:rsidRPr="00837E17">
        <w:rPr>
          <w:sz w:val="24"/>
          <w:szCs w:val="24"/>
        </w:rPr>
        <w:tab/>
        <w:t>U ostatku cijene mjesečne učeničke karte za razdoblje rujan-prosinac 2015. godine sudjelovat će roditelji</w:t>
      </w:r>
      <w:r w:rsidR="008304AC">
        <w:rPr>
          <w:sz w:val="24"/>
          <w:szCs w:val="24"/>
        </w:rPr>
        <w:t xml:space="preserve"> </w:t>
      </w:r>
      <w:r w:rsidR="008304AC">
        <w:rPr>
          <w:b/>
          <w:sz w:val="24"/>
          <w:szCs w:val="24"/>
        </w:rPr>
        <w:t>prema priloženoj tablici</w:t>
      </w:r>
      <w:r w:rsidRPr="00837E17">
        <w:rPr>
          <w:sz w:val="24"/>
          <w:szCs w:val="24"/>
        </w:rPr>
        <w:t>.</w:t>
      </w:r>
    </w:p>
    <w:p w:rsidR="00837E17" w:rsidRDefault="00837E17" w:rsidP="00837E17">
      <w:pPr>
        <w:spacing w:after="0" w:line="240" w:lineRule="auto"/>
        <w:jc w:val="both"/>
        <w:rPr>
          <w:sz w:val="24"/>
          <w:szCs w:val="24"/>
        </w:rPr>
      </w:pPr>
      <w:r w:rsidRPr="00837E17">
        <w:rPr>
          <w:sz w:val="24"/>
          <w:szCs w:val="24"/>
        </w:rPr>
        <w:t xml:space="preserve"> </w:t>
      </w:r>
    </w:p>
    <w:p w:rsidR="00837E17" w:rsidRDefault="00837E17" w:rsidP="00837E1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left:0;text-align:left;margin-left:2.3pt;margin-top:-.15pt;width:420.75pt;height:50.65pt;z-index:251668480;mso-width-relative:margin;mso-height-relative:margin;v-text-anchor:middle" fillcolor="#4bacc6 [3208]" strokecolor="#f2f2f2 [3041]" strokeweight="3pt">
            <v:shadow on="t" type="perspective" color="#205867 [1608]" opacity=".5" offset="1pt" offset2="-1pt"/>
            <v:textbox>
              <w:txbxContent>
                <w:p w:rsidR="00837E17" w:rsidRDefault="00837E17" w:rsidP="00837E1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A4E81">
                    <w:rPr>
                      <w:b/>
                      <w:sz w:val="24"/>
                      <w:szCs w:val="24"/>
                    </w:rPr>
                    <w:t xml:space="preserve">UČENICE I UČENICI UPISANI U SREDNJIM ŠKOLAMA </w:t>
                  </w:r>
                </w:p>
                <w:p w:rsidR="00837E17" w:rsidRPr="00FE647D" w:rsidRDefault="00837E17" w:rsidP="00837E17">
                  <w:pPr>
                    <w:spacing w:after="0" w:line="240" w:lineRule="auto"/>
                  </w:pPr>
                  <w:r>
                    <w:rPr>
                      <w:b/>
                      <w:sz w:val="24"/>
                      <w:szCs w:val="24"/>
                    </w:rPr>
                    <w:t>U BUJAMA I POREČU</w:t>
                  </w:r>
                </w:p>
              </w:txbxContent>
            </v:textbox>
          </v:shape>
        </w:pict>
      </w:r>
    </w:p>
    <w:p w:rsidR="00837E17" w:rsidRDefault="00837E17" w:rsidP="00837E17">
      <w:pPr>
        <w:spacing w:after="0" w:line="240" w:lineRule="auto"/>
        <w:jc w:val="both"/>
        <w:rPr>
          <w:sz w:val="24"/>
          <w:szCs w:val="24"/>
        </w:rPr>
      </w:pPr>
    </w:p>
    <w:p w:rsidR="00837E17" w:rsidRDefault="00837E17" w:rsidP="00837E17">
      <w:pPr>
        <w:spacing w:after="0" w:line="240" w:lineRule="auto"/>
        <w:jc w:val="both"/>
        <w:rPr>
          <w:sz w:val="24"/>
          <w:szCs w:val="24"/>
        </w:rPr>
      </w:pPr>
    </w:p>
    <w:p w:rsidR="00837E17" w:rsidRPr="00837E17" w:rsidRDefault="00837E17" w:rsidP="00837E17">
      <w:pPr>
        <w:spacing w:after="0" w:line="240" w:lineRule="auto"/>
        <w:jc w:val="both"/>
        <w:rPr>
          <w:sz w:val="24"/>
          <w:szCs w:val="24"/>
        </w:rPr>
      </w:pPr>
    </w:p>
    <w:bookmarkEnd w:id="2"/>
    <w:bookmarkEnd w:id="3"/>
    <w:p w:rsidR="00837E17" w:rsidRPr="00837E17" w:rsidRDefault="00837E17" w:rsidP="00837E17">
      <w:pPr>
        <w:spacing w:after="0" w:line="240" w:lineRule="auto"/>
        <w:jc w:val="both"/>
        <w:rPr>
          <w:sz w:val="24"/>
          <w:szCs w:val="24"/>
        </w:rPr>
      </w:pPr>
      <w:r w:rsidRPr="00837E17">
        <w:rPr>
          <w:b/>
          <w:sz w:val="24"/>
          <w:szCs w:val="24"/>
        </w:rPr>
        <w:tab/>
      </w:r>
      <w:r w:rsidRPr="00837E17">
        <w:rPr>
          <w:sz w:val="24"/>
          <w:szCs w:val="24"/>
        </w:rPr>
        <w:t>Pravo na dodatni udjel sufinanciranja Grada Umaga ostvaruju učenici koji dnevno putuju od mjesta stanovanja do mjesta školovanja, a upisani su u programe redovitog obrazovanja u jednoj od srednjih javnih škola sa sjedištem u Bujama: Gospodarskoj školi Buje, Srednjoj školi „Vladimir Gortan“ te Srednjoj talijanskoj školi „Leonardo da Vinci“ kao najbližim dostupnim srednjim školama.</w:t>
      </w:r>
    </w:p>
    <w:p w:rsidR="00837E17" w:rsidRPr="00837E17" w:rsidRDefault="00837E17" w:rsidP="00837E17">
      <w:pPr>
        <w:spacing w:after="0" w:line="240" w:lineRule="auto"/>
        <w:jc w:val="both"/>
        <w:rPr>
          <w:sz w:val="24"/>
          <w:szCs w:val="24"/>
        </w:rPr>
      </w:pPr>
      <w:r w:rsidRPr="00837E17">
        <w:rPr>
          <w:sz w:val="24"/>
          <w:szCs w:val="24"/>
        </w:rPr>
        <w:tab/>
        <w:t xml:space="preserve">Pravo na dodatni udjel sufinanciranja Grada Umaga ostvaruju učenici koji su upisani u programe redovitog obrazovanja u srednjim javnim  školama sa sjedištem u Poreču: Srednjoj školi „Mate Balota“ i Turističko ugostiteljskoj školi Antona Štifanića, uz  uvjet da takav program nije dostupan u jednoj od srednjih javnih škola sa sjedištem u Bujama i to kako slijedi: opća gimnazija (isključivo 2. razred), jezična gimnazija, komercijalist, agrotehničar, turističko-hotelijerski komercijalist, slastičar. </w:t>
      </w:r>
    </w:p>
    <w:p w:rsidR="00837E17" w:rsidRPr="00837E17" w:rsidRDefault="00837E17" w:rsidP="00837E17">
      <w:pPr>
        <w:spacing w:after="0" w:line="240" w:lineRule="auto"/>
        <w:jc w:val="both"/>
        <w:rPr>
          <w:sz w:val="24"/>
          <w:szCs w:val="24"/>
        </w:rPr>
      </w:pPr>
      <w:r w:rsidRPr="00837E17">
        <w:rPr>
          <w:sz w:val="24"/>
          <w:szCs w:val="24"/>
        </w:rPr>
        <w:tab/>
        <w:t xml:space="preserve">U slučaju da učenik upiše program redovitog obrazovanja u drugoj ustanovi, iako je takav program dostupan u jednoj od srednjih javnih škola sa sjedištem u Bujama kao najbližoj srednjoj školi,  troškovi prijevoza bit će sufinancirani u visini troškova prijevoza na relaciji Umag-Buje.  </w:t>
      </w:r>
    </w:p>
    <w:p w:rsidR="00837E17" w:rsidRPr="00837E17" w:rsidRDefault="00837E17" w:rsidP="00837E17">
      <w:pPr>
        <w:spacing w:after="0" w:line="240" w:lineRule="auto"/>
        <w:jc w:val="both"/>
        <w:rPr>
          <w:sz w:val="24"/>
          <w:szCs w:val="24"/>
        </w:rPr>
      </w:pPr>
      <w:r w:rsidRPr="009A1FFF">
        <w:tab/>
      </w:r>
      <w:r w:rsidRPr="00837E17">
        <w:rPr>
          <w:sz w:val="24"/>
          <w:szCs w:val="24"/>
        </w:rPr>
        <w:t xml:space="preserve">Način sufinanciranja iz prethodnog stavka ovog članka odnosi se prvenstveno na učenike upisane u sljedeće obrazovne programe-zanimanja: opću gimnaziju (1., 3. i 4. razred), hotelijersko turistički tehničar, ekonomist,  kuhar, konobar. </w:t>
      </w:r>
    </w:p>
    <w:p w:rsidR="00837E17" w:rsidRPr="00837E17" w:rsidRDefault="00837E17" w:rsidP="00837E17">
      <w:pPr>
        <w:spacing w:after="0" w:line="240" w:lineRule="auto"/>
        <w:jc w:val="both"/>
        <w:rPr>
          <w:sz w:val="24"/>
          <w:szCs w:val="24"/>
        </w:rPr>
      </w:pPr>
      <w:r w:rsidRPr="00837E17">
        <w:rPr>
          <w:sz w:val="24"/>
          <w:szCs w:val="24"/>
        </w:rPr>
        <w:tab/>
        <w:t xml:space="preserve">Odredba iz prethodnog stavka ovoga članka odnosi se  i na  učenike koji su upisali program opće gimnazije u Srednjoj školi „Mate Balota“ u Poreču s obzirom da je Strukturom </w:t>
      </w:r>
      <w:r w:rsidRPr="00837E17">
        <w:rPr>
          <w:sz w:val="24"/>
          <w:szCs w:val="24"/>
        </w:rPr>
        <w:lastRenderedPageBreak/>
        <w:t xml:space="preserve">razrednih odjela i broja učenika 1. razreda srednjih škola u školskoj godini 2015./2016. – I. dio – srednje škole kojima je osnivač Republika Hrvatska, jedinice lokalne samouprave te jedinice područne (regionalne) samouprave koja je sastavni dio Odluke o upisu učenika u 1. razred srednje škole u školskoj godini 2015./2016. („Narodne novine“ broj 52/15.), planiran i ostvaren upis učenika u 1. razred opće gimnazije u Srednjoj školi „Vladimir Gortan“ u Bujama. </w:t>
      </w:r>
    </w:p>
    <w:p w:rsidR="0074101D" w:rsidRDefault="0077446C" w:rsidP="00BE4BB6">
      <w:pPr>
        <w:spacing w:after="0" w:line="240" w:lineRule="auto"/>
        <w:jc w:val="both"/>
        <w:rPr>
          <w:sz w:val="24"/>
          <w:szCs w:val="24"/>
        </w:rPr>
      </w:pPr>
      <w:r w:rsidRPr="00FE647D">
        <w:rPr>
          <w:sz w:val="24"/>
          <w:szCs w:val="24"/>
        </w:rPr>
        <w:tab/>
      </w:r>
    </w:p>
    <w:p w:rsidR="002F1D2C" w:rsidRPr="00BE4BB6" w:rsidRDefault="00BE4BB6" w:rsidP="00BE4BB6">
      <w:pPr>
        <w:spacing w:after="0" w:line="240" w:lineRule="auto"/>
        <w:jc w:val="both"/>
        <w:rPr>
          <w:b/>
          <w:sz w:val="24"/>
          <w:szCs w:val="24"/>
        </w:rPr>
      </w:pPr>
      <w:r w:rsidRPr="00837E17">
        <w:rPr>
          <w:b/>
          <w:sz w:val="24"/>
          <w:szCs w:val="24"/>
          <w:highlight w:val="lightGray"/>
          <w:u w:val="single"/>
        </w:rPr>
        <w:t>NAČIN OSTVARIVANJA PRAVA</w:t>
      </w:r>
      <w:r w:rsidRPr="00BE4BB6">
        <w:rPr>
          <w:b/>
          <w:sz w:val="24"/>
          <w:szCs w:val="24"/>
        </w:rPr>
        <w:t xml:space="preserve"> </w:t>
      </w:r>
      <w:r w:rsidRPr="00BE4BB6">
        <w:rPr>
          <w:sz w:val="24"/>
          <w:szCs w:val="24"/>
        </w:rPr>
        <w:t>U</w:t>
      </w:r>
      <w:r w:rsidR="002F1D2C" w:rsidRPr="00BE4BB6">
        <w:rPr>
          <w:sz w:val="24"/>
          <w:szCs w:val="24"/>
        </w:rPr>
        <w:t xml:space="preserve">čenici </w:t>
      </w:r>
      <w:r w:rsidRPr="00BE4BB6">
        <w:rPr>
          <w:sz w:val="24"/>
          <w:szCs w:val="24"/>
        </w:rPr>
        <w:t xml:space="preserve">su </w:t>
      </w:r>
      <w:r w:rsidR="002F1D2C" w:rsidRPr="00BE4BB6">
        <w:rPr>
          <w:sz w:val="24"/>
          <w:szCs w:val="24"/>
        </w:rPr>
        <w:t>dužni kupiti mjesečnu učeničku povlaštenu kartu na prodajnom mjestu autobusnog kolodvora u Umagu.</w:t>
      </w:r>
      <w:r w:rsidR="003B6621" w:rsidRPr="00BE4BB6">
        <w:rPr>
          <w:sz w:val="24"/>
          <w:szCs w:val="24"/>
        </w:rPr>
        <w:t xml:space="preserve"> </w:t>
      </w:r>
      <w:r w:rsidR="0074101D" w:rsidRPr="00BE4BB6">
        <w:rPr>
          <w:sz w:val="24"/>
          <w:szCs w:val="24"/>
        </w:rPr>
        <w:t>Javni prijevoznik će dostaviti Gradu Umagu mjesečni obračun sufinanciranja koji sadržava: naziv pojedine županijske linije, broj prodanih mjesečnih učeničkih karata po pojedinoj relaciji iskazan temeljem popisa učenika ika kojeg su srednje škole dostavile Gradu Umagu</w:t>
      </w:r>
      <w:r w:rsidRPr="00BE4BB6">
        <w:rPr>
          <w:sz w:val="24"/>
          <w:szCs w:val="24"/>
        </w:rPr>
        <w:t xml:space="preserve">, </w:t>
      </w:r>
      <w:r w:rsidR="0074101D" w:rsidRPr="00BE4BB6">
        <w:rPr>
          <w:sz w:val="24"/>
          <w:szCs w:val="24"/>
        </w:rPr>
        <w:t>cijenu mjesečne učeničke karte po pojedinoj relaciji te iznos sufinanciranja Grada Umaga.</w:t>
      </w:r>
    </w:p>
    <w:p w:rsidR="00817CC3" w:rsidRDefault="00817CC3" w:rsidP="0077446C">
      <w:pPr>
        <w:spacing w:after="0" w:line="240" w:lineRule="auto"/>
        <w:jc w:val="both"/>
        <w:rPr>
          <w:sz w:val="24"/>
          <w:szCs w:val="24"/>
        </w:rPr>
      </w:pPr>
    </w:p>
    <w:p w:rsidR="00817CC3" w:rsidRDefault="00CC1D9B" w:rsidP="0077446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Cs w:val="24"/>
          <w:lang w:eastAsia="hr-HR"/>
        </w:rPr>
        <w:pict>
          <v:shape id="_x0000_s1032" type="#_x0000_t15" style="position:absolute;left:0;text-align:left;margin-left:5.6pt;margin-top:.15pt;width:420.75pt;height:50.65pt;z-index:251663360;mso-width-relative:margin;mso-height-relative:margin;v-text-anchor:middle" fillcolor="#4bacc6 [3208]" strokecolor="#f2f2f2 [3041]" strokeweight="3pt">
            <v:shadow on="t" type="perspective" color="#205867 [1608]" opacity=".5" offset="1pt" offset2="-1pt"/>
            <v:textbox>
              <w:txbxContent>
                <w:p w:rsidR="00817CC3" w:rsidRDefault="00FE647D" w:rsidP="00BE4BB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A4E81">
                    <w:rPr>
                      <w:b/>
                      <w:sz w:val="24"/>
                      <w:szCs w:val="24"/>
                    </w:rPr>
                    <w:t xml:space="preserve">UČENICE I UČENICI UPISANI U DRUGIM SREDNJIM JAVNIM ŠKOLAMA </w:t>
                  </w:r>
                </w:p>
                <w:p w:rsidR="00FE647D" w:rsidRPr="00FE647D" w:rsidRDefault="00FE647D" w:rsidP="00BE4BB6">
                  <w:pPr>
                    <w:spacing w:after="0" w:line="240" w:lineRule="auto"/>
                  </w:pPr>
                  <w:r w:rsidRPr="00BA4E81">
                    <w:rPr>
                      <w:b/>
                      <w:sz w:val="24"/>
                      <w:szCs w:val="24"/>
                    </w:rPr>
                    <w:t>NA</w:t>
                  </w:r>
                  <w:r w:rsidR="00BA4E8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A4E81">
                    <w:rPr>
                      <w:b/>
                      <w:sz w:val="24"/>
                      <w:szCs w:val="24"/>
                    </w:rPr>
                    <w:t>PODRUČJU REPUBLIKE HRVATSKE</w:t>
                  </w:r>
                  <w:r w:rsidR="00837E1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17CC3" w:rsidRDefault="00817CC3" w:rsidP="0077446C">
      <w:pPr>
        <w:spacing w:after="0" w:line="240" w:lineRule="auto"/>
        <w:jc w:val="both"/>
        <w:rPr>
          <w:sz w:val="24"/>
          <w:szCs w:val="24"/>
        </w:rPr>
      </w:pPr>
    </w:p>
    <w:p w:rsidR="00817CC3" w:rsidRDefault="00817CC3" w:rsidP="0077446C">
      <w:pPr>
        <w:spacing w:after="0" w:line="240" w:lineRule="auto"/>
        <w:jc w:val="both"/>
        <w:rPr>
          <w:sz w:val="24"/>
          <w:szCs w:val="24"/>
        </w:rPr>
      </w:pPr>
    </w:p>
    <w:p w:rsidR="00BA4E81" w:rsidRDefault="00BA4E81" w:rsidP="0077446C">
      <w:pPr>
        <w:spacing w:after="0" w:line="240" w:lineRule="auto"/>
        <w:jc w:val="both"/>
        <w:rPr>
          <w:sz w:val="24"/>
          <w:szCs w:val="24"/>
        </w:rPr>
      </w:pPr>
    </w:p>
    <w:p w:rsidR="0077446C" w:rsidRPr="00322B4A" w:rsidRDefault="009E3105" w:rsidP="00774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46C" w:rsidRPr="00322B4A">
        <w:rPr>
          <w:sz w:val="24"/>
          <w:szCs w:val="24"/>
        </w:rPr>
        <w:t xml:space="preserve">Pravo na sufinanciranje Grada Umaga u mjesečnom iznosu do </w:t>
      </w:r>
      <w:r w:rsidR="0077446C" w:rsidRPr="00322B4A">
        <w:rPr>
          <w:b/>
          <w:sz w:val="24"/>
          <w:szCs w:val="24"/>
        </w:rPr>
        <w:t>400,00 kuna</w:t>
      </w:r>
      <w:r w:rsidR="0077446C" w:rsidRPr="00322B4A">
        <w:rPr>
          <w:sz w:val="24"/>
          <w:szCs w:val="24"/>
        </w:rPr>
        <w:t xml:space="preserve"> ostvaruju </w:t>
      </w:r>
      <w:r w:rsidR="00CE4A37">
        <w:rPr>
          <w:sz w:val="24"/>
          <w:szCs w:val="24"/>
        </w:rPr>
        <w:t>u</w:t>
      </w:r>
      <w:r w:rsidR="0077446C" w:rsidRPr="00322B4A">
        <w:rPr>
          <w:sz w:val="24"/>
          <w:szCs w:val="24"/>
        </w:rPr>
        <w:t>čenici koji su upisani u programe redovitog obrazovanja u drugim srednjim javnim školama na području Republike Hrvatske, s obzirom na nedostupnost programa u srednjim školama sa sjedištem u Bujama koji su zbog udaljenosti mjesta školovanja smješteni u učeničkim domovima, a putuju tjedno, mjesečno, odnosno povremeno koristeći se uslugama javnog linijskog prijevoza različitih prijevoznika.</w:t>
      </w:r>
    </w:p>
    <w:p w:rsidR="00B15381" w:rsidRDefault="009E3105" w:rsidP="00774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5381" w:rsidRPr="00BA4E81" w:rsidRDefault="008304AC" w:rsidP="00BA4E81">
      <w:pPr>
        <w:jc w:val="both"/>
        <w:rPr>
          <w:sz w:val="24"/>
          <w:szCs w:val="24"/>
        </w:rPr>
      </w:pPr>
      <w:bookmarkStart w:id="4" w:name="OLE_LINK1"/>
      <w:r w:rsidRPr="008304AC">
        <w:rPr>
          <w:noProof/>
          <w:sz w:val="24"/>
          <w:szCs w:val="24"/>
          <w:lang w:eastAsia="hr-HR"/>
        </w:rPr>
        <w:pict>
          <v:shape id="_x0000_s1033" type="#_x0000_t15" style="position:absolute;left:0;text-align:left;margin-left:.75pt;margin-top:50.75pt;width:453.45pt;height:30.6pt;z-index:251664384;mso-width-relative:margin;mso-height-relative:margin;v-text-anchor:middle" fillcolor="#4bacc6 [3208]" strokecolor="#f2f2f2 [3041]" strokeweight="3pt">
            <v:shadow on="t" type="perspective" color="#205867 [1608]" opacity=".5" offset="1pt" offset2="-1pt"/>
            <v:textbox>
              <w:txbxContent>
                <w:p w:rsidR="00BA4E81" w:rsidRPr="00FE647D" w:rsidRDefault="00BA4E81" w:rsidP="00BA4E8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 xml:space="preserve">UČENICE I UČENICI KOJI SE ŠKOLUJU U REPUBLICI SLOVENIJI </w:t>
                  </w:r>
                </w:p>
              </w:txbxContent>
            </v:textbox>
          </v:shape>
        </w:pict>
      </w:r>
      <w:r w:rsidR="00BA4E81" w:rsidRPr="008304AC">
        <w:rPr>
          <w:b/>
          <w:sz w:val="24"/>
          <w:szCs w:val="24"/>
          <w:highlight w:val="lightGray"/>
          <w:u w:val="single"/>
        </w:rPr>
        <w:t>NAČIN OSTVARIVANJA PRAVA</w:t>
      </w:r>
      <w:r w:rsidR="001D1734">
        <w:rPr>
          <w:b/>
          <w:sz w:val="24"/>
          <w:szCs w:val="24"/>
        </w:rPr>
        <w:t xml:space="preserve"> </w:t>
      </w:r>
      <w:bookmarkEnd w:id="4"/>
      <w:r w:rsidR="00B15381" w:rsidRPr="00BA4E81">
        <w:rPr>
          <w:sz w:val="24"/>
          <w:szCs w:val="24"/>
        </w:rPr>
        <w:t>Sufinanciranje mjesečnih troškova prijevoza odobrava se na temelju pisanog zahtjeva roditelja</w:t>
      </w:r>
      <w:r w:rsidR="00585880">
        <w:rPr>
          <w:sz w:val="24"/>
          <w:szCs w:val="24"/>
        </w:rPr>
        <w:t xml:space="preserve"> Upravnom odjelu za društvene djelatnosti</w:t>
      </w:r>
      <w:r w:rsidR="007C5721">
        <w:rPr>
          <w:sz w:val="24"/>
          <w:szCs w:val="24"/>
        </w:rPr>
        <w:t xml:space="preserve"> Grada Umaga</w:t>
      </w:r>
      <w:r w:rsidR="00585880">
        <w:rPr>
          <w:sz w:val="24"/>
          <w:szCs w:val="24"/>
        </w:rPr>
        <w:t>.</w:t>
      </w:r>
      <w:r w:rsidR="00B15381" w:rsidRPr="00BA4E81">
        <w:rPr>
          <w:sz w:val="24"/>
          <w:szCs w:val="24"/>
        </w:rPr>
        <w:t xml:space="preserve"> </w:t>
      </w:r>
    </w:p>
    <w:p w:rsidR="0077446C" w:rsidRDefault="0077446C" w:rsidP="0077446C">
      <w:pPr>
        <w:spacing w:after="0" w:line="240" w:lineRule="auto"/>
        <w:jc w:val="both"/>
        <w:rPr>
          <w:sz w:val="24"/>
          <w:szCs w:val="24"/>
        </w:rPr>
      </w:pPr>
    </w:p>
    <w:p w:rsidR="00BA4E81" w:rsidRPr="00322B4A" w:rsidRDefault="00BA4E81" w:rsidP="0077446C">
      <w:pPr>
        <w:spacing w:after="0" w:line="240" w:lineRule="auto"/>
        <w:jc w:val="both"/>
        <w:rPr>
          <w:sz w:val="24"/>
          <w:szCs w:val="24"/>
        </w:rPr>
      </w:pPr>
    </w:p>
    <w:p w:rsidR="0077446C" w:rsidRPr="00322B4A" w:rsidRDefault="0077446C" w:rsidP="0077446C">
      <w:pPr>
        <w:spacing w:after="0" w:line="240" w:lineRule="auto"/>
        <w:jc w:val="both"/>
        <w:rPr>
          <w:sz w:val="24"/>
          <w:szCs w:val="24"/>
        </w:rPr>
      </w:pPr>
      <w:r w:rsidRPr="00322B4A">
        <w:rPr>
          <w:sz w:val="24"/>
          <w:szCs w:val="24"/>
        </w:rPr>
        <w:tab/>
        <w:t xml:space="preserve"> </w:t>
      </w:r>
    </w:p>
    <w:p w:rsidR="0077446C" w:rsidRDefault="0077446C" w:rsidP="00BE4BB6">
      <w:pPr>
        <w:spacing w:after="0" w:line="240" w:lineRule="auto"/>
        <w:ind w:firstLine="709"/>
        <w:jc w:val="both"/>
        <w:rPr>
          <w:sz w:val="24"/>
          <w:szCs w:val="24"/>
        </w:rPr>
      </w:pPr>
      <w:r w:rsidRPr="00322B4A">
        <w:rPr>
          <w:sz w:val="24"/>
          <w:szCs w:val="24"/>
        </w:rPr>
        <w:t xml:space="preserve">Pravo na sufinanciranje Grada Umaga u mjesečnom iznosu od </w:t>
      </w:r>
      <w:r w:rsidR="00C34686">
        <w:rPr>
          <w:sz w:val="24"/>
          <w:szCs w:val="24"/>
        </w:rPr>
        <w:t xml:space="preserve"> </w:t>
      </w:r>
      <w:r w:rsidR="00837E17">
        <w:rPr>
          <w:b/>
          <w:sz w:val="24"/>
          <w:szCs w:val="24"/>
        </w:rPr>
        <w:t>4</w:t>
      </w:r>
      <w:r w:rsidRPr="00322B4A">
        <w:rPr>
          <w:b/>
          <w:sz w:val="24"/>
          <w:szCs w:val="24"/>
        </w:rPr>
        <w:t>00,00 kuna</w:t>
      </w:r>
      <w:r w:rsidRPr="00322B4A">
        <w:rPr>
          <w:sz w:val="24"/>
          <w:szCs w:val="24"/>
        </w:rPr>
        <w:t xml:space="preserve">  ostvaruju učenci koji su upisani u programe redovitog obrazovanja koji dnevno putuju i koriste ugovoreni prijevoz, a školuju se u srednjim školama </w:t>
      </w:r>
      <w:r w:rsidR="00250DB4">
        <w:rPr>
          <w:sz w:val="24"/>
          <w:szCs w:val="24"/>
        </w:rPr>
        <w:t>u Republici Sloveniji</w:t>
      </w:r>
      <w:r w:rsidRPr="00322B4A">
        <w:rPr>
          <w:sz w:val="24"/>
          <w:szCs w:val="24"/>
        </w:rPr>
        <w:t xml:space="preserve"> sa sjedištem u Općini Piran i Općini Izola.</w:t>
      </w:r>
    </w:p>
    <w:p w:rsidR="00EC0DA7" w:rsidRDefault="00EC0DA7" w:rsidP="00BE4BB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36719" w:rsidRDefault="00BA4E81" w:rsidP="00BE4BB6">
      <w:pPr>
        <w:spacing w:after="0" w:line="240" w:lineRule="auto"/>
        <w:jc w:val="both"/>
        <w:rPr>
          <w:sz w:val="24"/>
          <w:szCs w:val="24"/>
        </w:rPr>
      </w:pPr>
      <w:r w:rsidRPr="008304AC">
        <w:rPr>
          <w:b/>
          <w:sz w:val="24"/>
          <w:szCs w:val="24"/>
          <w:highlight w:val="lightGray"/>
          <w:u w:val="single"/>
        </w:rPr>
        <w:t>NAČIN OSTVARIVANJA PRAVA</w:t>
      </w:r>
      <w:r w:rsidR="001D1734">
        <w:rPr>
          <w:b/>
          <w:sz w:val="24"/>
          <w:szCs w:val="24"/>
        </w:rPr>
        <w:t xml:space="preserve">  </w:t>
      </w:r>
      <w:r w:rsidR="0077446C" w:rsidRPr="00BA4E81">
        <w:rPr>
          <w:sz w:val="24"/>
          <w:szCs w:val="24"/>
        </w:rPr>
        <w:t>Sufinanciranje mjesečnih troškova prijevoza odobrava se na temelju pisanog zahtjeva roditelja</w:t>
      </w:r>
      <w:r w:rsidR="00585880">
        <w:rPr>
          <w:sz w:val="24"/>
          <w:szCs w:val="24"/>
        </w:rPr>
        <w:t xml:space="preserve"> Upravnom odjelu za društvene djelatnosti</w:t>
      </w:r>
      <w:r w:rsidR="002F1D2C" w:rsidRPr="00BA4E81">
        <w:rPr>
          <w:sz w:val="24"/>
          <w:szCs w:val="24"/>
        </w:rPr>
        <w:t>.</w:t>
      </w:r>
      <w:r w:rsidR="0077446C" w:rsidRPr="00BA4E81">
        <w:rPr>
          <w:sz w:val="24"/>
          <w:szCs w:val="24"/>
        </w:rPr>
        <w:t xml:space="preserve"> </w:t>
      </w:r>
    </w:p>
    <w:p w:rsidR="00D64652" w:rsidRPr="00BA4E81" w:rsidRDefault="00CC1D9B" w:rsidP="0077446C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pict>
          <v:shape id="_x0000_s1034" type="#_x0000_t15" style="position:absolute;left:0;text-align:left;margin-left:.75pt;margin-top:13.8pt;width:145.75pt;height:25.7pt;z-index:251665408;mso-width-relative:margin;mso-height-relative:margin;v-text-anchor:middle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BA4E81" w:rsidRDefault="00BA4E81" w:rsidP="00BA4E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IZNIMNI SLUČAJEVI</w:t>
                  </w:r>
                </w:p>
                <w:p w:rsidR="00BA4E81" w:rsidRPr="00BA4E81" w:rsidRDefault="00BA4E81" w:rsidP="00BA4E81"/>
              </w:txbxContent>
            </v:textbox>
          </v:shape>
        </w:pict>
      </w:r>
    </w:p>
    <w:p w:rsidR="00BA4E81" w:rsidRDefault="00BA4E81" w:rsidP="0077446C">
      <w:pPr>
        <w:jc w:val="both"/>
        <w:rPr>
          <w:b/>
          <w:sz w:val="24"/>
          <w:szCs w:val="24"/>
        </w:rPr>
      </w:pPr>
    </w:p>
    <w:p w:rsidR="00E325DE" w:rsidRDefault="002B4EDB" w:rsidP="00E325DE">
      <w:pPr>
        <w:pStyle w:val="ListParagraph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25DE" w:rsidRPr="00E325DE">
        <w:rPr>
          <w:rFonts w:asciiTheme="minorHAnsi" w:hAnsiTheme="minorHAnsi"/>
        </w:rPr>
        <w:t xml:space="preserve">U iznimnim i opravdanim slučajevima, pravo na sufinanciranje troškova prijevoza imaju i redoviti učenici srednjih škola koji nisu u mogućnosti koristiti javni linijski prijevoz pa </w:t>
      </w:r>
      <w:r w:rsidR="00E325DE">
        <w:rPr>
          <w:rFonts w:asciiTheme="minorHAnsi" w:hAnsiTheme="minorHAnsi"/>
        </w:rPr>
        <w:t>su primorani koristiti</w:t>
      </w:r>
      <w:r w:rsidR="00E325DE" w:rsidRPr="00E325DE">
        <w:rPr>
          <w:rFonts w:asciiTheme="minorHAnsi" w:hAnsiTheme="minorHAnsi"/>
        </w:rPr>
        <w:t xml:space="preserve"> </w:t>
      </w:r>
      <w:r w:rsidR="00E325DE">
        <w:rPr>
          <w:rFonts w:asciiTheme="minorHAnsi" w:hAnsiTheme="minorHAnsi"/>
        </w:rPr>
        <w:t>drugi način i</w:t>
      </w:r>
      <w:r w:rsidR="00E325DE" w:rsidRPr="00E325DE">
        <w:rPr>
          <w:rFonts w:asciiTheme="minorHAnsi" w:hAnsiTheme="minorHAnsi"/>
        </w:rPr>
        <w:t xml:space="preserve"> sredstva</w:t>
      </w:r>
      <w:r w:rsidR="00E325DE">
        <w:rPr>
          <w:rFonts w:asciiTheme="minorHAnsi" w:hAnsiTheme="minorHAnsi"/>
        </w:rPr>
        <w:t xml:space="preserve"> </w:t>
      </w:r>
      <w:r w:rsidR="00E325DE" w:rsidRPr="00E325DE">
        <w:rPr>
          <w:rFonts w:asciiTheme="minorHAnsi" w:hAnsiTheme="minorHAnsi"/>
        </w:rPr>
        <w:t xml:space="preserve"> prijevoza</w:t>
      </w:r>
      <w:r w:rsidR="00D64652">
        <w:rPr>
          <w:rFonts w:asciiTheme="minorHAnsi" w:hAnsiTheme="minorHAnsi"/>
        </w:rPr>
        <w:t>.</w:t>
      </w:r>
    </w:p>
    <w:p w:rsidR="00D64652" w:rsidRPr="00E325DE" w:rsidRDefault="00D64652" w:rsidP="00E325DE">
      <w:pPr>
        <w:pStyle w:val="ListParagraph"/>
        <w:ind w:left="0"/>
        <w:jc w:val="both"/>
        <w:rPr>
          <w:rFonts w:asciiTheme="minorHAnsi" w:hAnsiTheme="minorHAnsi"/>
        </w:rPr>
      </w:pPr>
    </w:p>
    <w:p w:rsidR="008304AC" w:rsidRDefault="00D64652" w:rsidP="00D64652">
      <w:pPr>
        <w:pStyle w:val="ListParagraph"/>
        <w:ind w:left="0"/>
        <w:jc w:val="both"/>
        <w:rPr>
          <w:rFonts w:asciiTheme="minorHAnsi" w:hAnsiTheme="minorHAnsi"/>
        </w:rPr>
      </w:pPr>
      <w:r w:rsidRPr="00D64652">
        <w:rPr>
          <w:rFonts w:asciiTheme="minorHAnsi" w:hAnsiTheme="minorHAnsi"/>
          <w:b/>
          <w:szCs w:val="24"/>
          <w:highlight w:val="lightGray"/>
        </w:rPr>
        <w:t>NAČIN OSTVARIVANJA PRAVA</w:t>
      </w:r>
      <w:r w:rsidR="001D1734">
        <w:rPr>
          <w:rFonts w:asciiTheme="minorHAnsi" w:hAnsiTheme="minorHAnsi"/>
          <w:b/>
          <w:szCs w:val="24"/>
        </w:rPr>
        <w:t xml:space="preserve">  </w:t>
      </w:r>
      <w:r w:rsidR="001D1734">
        <w:rPr>
          <w:rFonts w:asciiTheme="minorHAnsi" w:hAnsiTheme="minorHAnsi"/>
        </w:rPr>
        <w:t>R</w:t>
      </w:r>
      <w:r>
        <w:rPr>
          <w:rFonts w:asciiTheme="minorHAnsi" w:hAnsiTheme="minorHAnsi"/>
        </w:rPr>
        <w:t>oditelji su dužni dostaviti pisani zahtjev</w:t>
      </w:r>
      <w:r w:rsidRPr="00E325DE">
        <w:rPr>
          <w:rFonts w:asciiTheme="minorHAnsi" w:hAnsiTheme="minorHAnsi"/>
        </w:rPr>
        <w:t xml:space="preserve"> Upravn</w:t>
      </w:r>
      <w:r>
        <w:rPr>
          <w:rFonts w:asciiTheme="minorHAnsi" w:hAnsiTheme="minorHAnsi"/>
        </w:rPr>
        <w:t>om</w:t>
      </w:r>
      <w:r w:rsidRPr="00E325DE">
        <w:rPr>
          <w:rFonts w:asciiTheme="minorHAnsi" w:hAnsiTheme="minorHAnsi"/>
        </w:rPr>
        <w:t xml:space="preserve"> odjel</w:t>
      </w:r>
      <w:r>
        <w:rPr>
          <w:rFonts w:asciiTheme="minorHAnsi" w:hAnsiTheme="minorHAnsi"/>
        </w:rPr>
        <w:t>u</w:t>
      </w:r>
      <w:r w:rsidRPr="00E325DE">
        <w:rPr>
          <w:rFonts w:asciiTheme="minorHAnsi" w:hAnsiTheme="minorHAnsi"/>
        </w:rPr>
        <w:t xml:space="preserve"> za društvene djelatnosti Grada Umaga</w:t>
      </w:r>
      <w:r>
        <w:rPr>
          <w:rFonts w:asciiTheme="minorHAnsi" w:hAnsiTheme="minorHAnsi"/>
        </w:rPr>
        <w:t xml:space="preserve"> koji odlučuje o njegovoj opravdanosti</w:t>
      </w:r>
      <w:r w:rsidRPr="00E325DE">
        <w:rPr>
          <w:rFonts w:asciiTheme="minorHAnsi" w:hAnsiTheme="minorHAnsi"/>
        </w:rPr>
        <w:t>.</w:t>
      </w:r>
    </w:p>
    <w:p w:rsidR="00817CC3" w:rsidRDefault="00817CC3" w:rsidP="00D64652">
      <w:pPr>
        <w:pStyle w:val="ListParagraph"/>
        <w:ind w:left="0"/>
        <w:jc w:val="both"/>
        <w:rPr>
          <w:rFonts w:asciiTheme="minorHAnsi" w:hAnsiTheme="minorHAnsi"/>
        </w:rPr>
      </w:pPr>
    </w:p>
    <w:p w:rsidR="00817CC3" w:rsidRDefault="00817CC3" w:rsidP="00D64652">
      <w:pPr>
        <w:pStyle w:val="ListParagraph"/>
        <w:ind w:left="0"/>
        <w:jc w:val="both"/>
        <w:rPr>
          <w:rFonts w:asciiTheme="minorHAnsi" w:hAnsiTheme="minorHAnsi"/>
        </w:rPr>
      </w:pPr>
    </w:p>
    <w:p w:rsidR="008304AC" w:rsidRDefault="008304AC" w:rsidP="00C664C2">
      <w:pPr>
        <w:jc w:val="center"/>
        <w:rPr>
          <w:rFonts w:eastAsia="Times New Roman"/>
          <w:b/>
          <w:bCs/>
          <w:color w:val="000000"/>
          <w:sz w:val="18"/>
          <w:szCs w:val="18"/>
          <w:lang w:eastAsia="hr-HR"/>
        </w:rPr>
        <w:sectPr w:rsidR="008304AC" w:rsidSect="008304AC">
          <w:footerReference w:type="default" r:id="rId10"/>
          <w:pgSz w:w="11907" w:h="16840" w:code="9"/>
          <w:pgMar w:top="567" w:right="1418" w:bottom="1134" w:left="1418" w:header="709" w:footer="709" w:gutter="0"/>
          <w:cols w:space="708"/>
          <w:docGrid w:linePitch="360"/>
        </w:sectPr>
      </w:pPr>
    </w:p>
    <w:tbl>
      <w:tblPr>
        <w:tblW w:w="1145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283"/>
        <w:gridCol w:w="3687"/>
        <w:gridCol w:w="1985"/>
      </w:tblGrid>
      <w:tr w:rsidR="008304AC" w:rsidRPr="00DD2B3C" w:rsidTr="008304AC">
        <w:trPr>
          <w:cantSplit/>
          <w:trHeight w:hRule="exact" w:val="283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RELACIJA BUJE</w:t>
            </w:r>
          </w:p>
          <w:p w:rsidR="008304AC" w:rsidRPr="00DD2B3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ŠK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OLSKI</w:t>
            </w: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BRIJEG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04A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UČEŠĆE  RODITELJA</w:t>
            </w:r>
          </w:p>
          <w:p w:rsidR="008304A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 CIJENI</w:t>
            </w:r>
          </w:p>
          <w:p w:rsidR="008304AC" w:rsidRPr="00DD2B3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MJESEČNE KARTE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tbRl"/>
          </w:tcPr>
          <w:p w:rsidR="008304AC" w:rsidRPr="00DD2B3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A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RELACIJA BUJE</w:t>
            </w:r>
          </w:p>
          <w:p w:rsidR="008304AC" w:rsidRPr="00DD2B3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ŠK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OLSKI</w:t>
            </w: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BRIJEG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304A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UČEŠĆE  RODITELJA</w:t>
            </w:r>
          </w:p>
          <w:p w:rsidR="008304A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 CIJENI</w:t>
            </w:r>
          </w:p>
          <w:p w:rsidR="008304AC" w:rsidRPr="00DD2B3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MJESEČNE KARTE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UMAG-BUJE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SAVUDRIJA-BUJE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FINIDA-BUJE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KMETI-BUJE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PETROVIJA-BUJE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BUŠĆINA-BUJE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PICUDO-BUJE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150,00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GALIĆI-BUJE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JURICANI-BUJE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150,00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MURINE-BUJE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MATERADA-BUJE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100,00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ČEPLJANI-BUJE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150,00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ZAMBRATIJA-BUJE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ZAKINJI-BUJE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sz w:val="18"/>
                <w:szCs w:val="18"/>
                <w:lang w:eastAsia="hr-HR"/>
              </w:rPr>
              <w:t>VALICA-BUJE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ROŽAC-BUJE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KRIŽINE-BUJE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BABIĆI-BUJE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SEGET-BUJE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LOVREČICA-BUJE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MARIJA NA KRASU-BUJE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VILANIJA-BUJE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FRATRICI-BUJE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FRANČESKIJA-BUJE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200,00 kn </w:t>
            </w:r>
          </w:p>
        </w:tc>
      </w:tr>
      <w:tr w:rsidR="008304AC" w:rsidRPr="00DD2B3C" w:rsidTr="008304AC">
        <w:trPr>
          <w:trHeight w:val="499"/>
          <w:jc w:val="center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BF7E39" w:rsidRDefault="008304AC" w:rsidP="00C664C2">
            <w:pPr>
              <w:jc w:val="right"/>
              <w:rPr>
                <w:rFonts w:eastAsia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DD2B3C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304AC" w:rsidRPr="00DD2B3C" w:rsidTr="008304AC">
        <w:trPr>
          <w:cantSplit/>
          <w:trHeight w:hRule="exact" w:val="283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D2B3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RELACIJA POREČ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8304AC" w:rsidRPr="00AB3AED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UČEŠĆE RODITELJA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8304AC" w:rsidRDefault="008304AC" w:rsidP="00C66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NAPOMENA:</w:t>
            </w:r>
          </w:p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UMAG-POREČ 1 (PROGRAMI DOSTUPNI U BUJAMA)</w:t>
            </w:r>
          </w:p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UMAG-POREČ 2 (PROGRAMI DOSTUPNI SAMO U POREČU)</w:t>
            </w:r>
          </w:p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KRIŽINE-POREČ 1 (PROGRAMI DOSTUPNI U BUJAMA)</w:t>
            </w:r>
          </w:p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KRIŽINE-POREČ 2 (PROGRAMI DOSTUPNI SAMO U POREČU)</w:t>
            </w:r>
          </w:p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LOVREČICA-POREČ 1 (PROGRAMI DOSTUPNI U BUJAMA)</w:t>
            </w:r>
          </w:p>
          <w:p w:rsidR="008304AC" w:rsidRPr="00DD2B3C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D2B3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LOVREČICA-POREČ 2 (PROGRAMI DOSTUPNI SAMO U POREČU)</w:t>
            </w:r>
          </w:p>
        </w:tc>
      </w:tr>
      <w:tr w:rsidR="008304AC" w:rsidRPr="00DD2B3C" w:rsidTr="008304AC">
        <w:trPr>
          <w:trHeight w:hRule="exact" w:val="454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84A3E" w:rsidRDefault="008304AC" w:rsidP="00C66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4A3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UMAG-POREČ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AB3AED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311,00 kn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304AC" w:rsidRPr="00DD2B3C" w:rsidTr="008304AC">
        <w:trPr>
          <w:trHeight w:val="454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84A3E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84A3E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UMAG-POREČ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AB3AED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232,00 kn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304AC" w:rsidRPr="00DD2B3C" w:rsidTr="008304AC">
        <w:trPr>
          <w:trHeight w:val="454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84A3E" w:rsidRDefault="008304AC" w:rsidP="00C66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4A3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KRIŽINE-POREČ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AB3AED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255,00 kn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304AC" w:rsidRPr="00DD2B3C" w:rsidTr="008304AC">
        <w:trPr>
          <w:trHeight w:val="454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84A3E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84A3E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KRIŽINE-POREČ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AB3AED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204,00 kn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304AC" w:rsidRPr="00DD2B3C" w:rsidTr="008304AC">
        <w:trPr>
          <w:trHeight w:val="454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84A3E" w:rsidRDefault="008304AC" w:rsidP="00C66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4A3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LOVREČICA-POREČ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AB3AED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311,00 kn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304AC" w:rsidRPr="00DD2B3C" w:rsidTr="008304AC">
        <w:trPr>
          <w:trHeight w:val="454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84A3E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84A3E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LOVREČICA- POREČ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AB3AED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232,00 kn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304AC" w:rsidRPr="00DD2B3C" w:rsidTr="008304AC">
        <w:trPr>
          <w:trHeight w:val="454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84A3E" w:rsidRDefault="008304AC" w:rsidP="00C66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4A3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MARIJA NA KRASU -POREČ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AB3AED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367,00 kn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304AC" w:rsidRPr="00DD2B3C" w:rsidTr="008304AC">
        <w:trPr>
          <w:trHeight w:val="45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D84A3E" w:rsidRDefault="008304AC" w:rsidP="00C664C2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84A3E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MARIJA NA KRASU-POREČ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AB3AED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260,00 kn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C" w:rsidRPr="00AB3AED" w:rsidRDefault="008304AC" w:rsidP="00C664C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817CC3" w:rsidRPr="00E325DE" w:rsidRDefault="00273767" w:rsidP="00D64652">
      <w:pPr>
        <w:pStyle w:val="ListParagraph"/>
        <w:ind w:left="0"/>
        <w:jc w:val="both"/>
        <w:rPr>
          <w:rFonts w:asciiTheme="minorHAnsi" w:hAnsiTheme="minorHAnsi"/>
        </w:rPr>
      </w:pPr>
      <w:bookmarkStart w:id="5" w:name="_GoBack"/>
      <w:bookmarkEnd w:id="5"/>
      <w:r>
        <w:rPr>
          <w:rFonts w:asciiTheme="minorHAnsi" w:hAnsiTheme="minorHAnsi"/>
          <w:noProof/>
          <w:lang w:eastAsia="ja-JP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155.7pt;margin-top:369.5pt;width:425.2pt;height:56.7pt;rotation:-360;z-index:251669504;mso-position-horizontal-relative:margin;mso-position-vertical-relative:margin;mso-width-relative:margin;mso-height-relative:margin;v-text-anchor:middle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9" inset="3.6pt,,3.6pt">
              <w:txbxContent>
                <w:p w:rsidR="00273767" w:rsidRPr="00322B4A" w:rsidRDefault="00273767" w:rsidP="002737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2B4A">
                    <w:rPr>
                      <w:b/>
                      <w:sz w:val="24"/>
                      <w:szCs w:val="24"/>
                    </w:rPr>
                    <w:t>Dodatne informacije i pojašnjenja mogu se zatražiti u Upravnom odjelu za društvene djelatnosti, ulica Tribje 2 ili telefonski pozivom na broj 702-961.</w:t>
                  </w:r>
                </w:p>
                <w:p w:rsidR="00273767" w:rsidRDefault="00273767" w:rsidP="00273767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817CC3" w:rsidRPr="00E325DE" w:rsidSect="008304AC">
      <w:pgSz w:w="16840" w:h="11907" w:orient="landscape" w:code="9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9B" w:rsidRDefault="00CC1D9B" w:rsidP="003B6621">
      <w:pPr>
        <w:spacing w:after="0" w:line="240" w:lineRule="auto"/>
      </w:pPr>
      <w:r>
        <w:separator/>
      </w:r>
    </w:p>
  </w:endnote>
  <w:endnote w:type="continuationSeparator" w:id="0">
    <w:p w:rsidR="00CC1D9B" w:rsidRDefault="00CC1D9B" w:rsidP="003B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020"/>
      <w:docPartObj>
        <w:docPartGallery w:val="Page Numbers (Bottom of Page)"/>
        <w:docPartUnique/>
      </w:docPartObj>
    </w:sdtPr>
    <w:sdtEndPr/>
    <w:sdtContent>
      <w:p w:rsidR="00817CC3" w:rsidRDefault="00CC1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7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7CC3" w:rsidRDefault="00817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9B" w:rsidRDefault="00CC1D9B" w:rsidP="003B6621">
      <w:pPr>
        <w:spacing w:after="0" w:line="240" w:lineRule="auto"/>
      </w:pPr>
      <w:r>
        <w:separator/>
      </w:r>
    </w:p>
  </w:footnote>
  <w:footnote w:type="continuationSeparator" w:id="0">
    <w:p w:rsidR="00CC1D9B" w:rsidRDefault="00CC1D9B" w:rsidP="003B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A44"/>
    <w:multiLevelType w:val="hybridMultilevel"/>
    <w:tmpl w:val="56A678A0"/>
    <w:lvl w:ilvl="0" w:tplc="FFB8C4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D4F69A1"/>
    <w:multiLevelType w:val="hybridMultilevel"/>
    <w:tmpl w:val="42DAF9E0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6C"/>
    <w:rsid w:val="00074E59"/>
    <w:rsid w:val="000B2314"/>
    <w:rsid w:val="000E4051"/>
    <w:rsid w:val="001507BB"/>
    <w:rsid w:val="0019308C"/>
    <w:rsid w:val="001B2979"/>
    <w:rsid w:val="001D1734"/>
    <w:rsid w:val="001F0711"/>
    <w:rsid w:val="00250DB4"/>
    <w:rsid w:val="00273767"/>
    <w:rsid w:val="002B4EDB"/>
    <w:rsid w:val="002B6FA5"/>
    <w:rsid w:val="002C6B2C"/>
    <w:rsid w:val="002C7C78"/>
    <w:rsid w:val="002F1D2C"/>
    <w:rsid w:val="00323316"/>
    <w:rsid w:val="003B6621"/>
    <w:rsid w:val="00416AAF"/>
    <w:rsid w:val="004A47CA"/>
    <w:rsid w:val="004F0CFE"/>
    <w:rsid w:val="005023DD"/>
    <w:rsid w:val="00507C0A"/>
    <w:rsid w:val="00566E85"/>
    <w:rsid w:val="0056798B"/>
    <w:rsid w:val="00585880"/>
    <w:rsid w:val="005F51AC"/>
    <w:rsid w:val="006069B6"/>
    <w:rsid w:val="0061221F"/>
    <w:rsid w:val="00614CB8"/>
    <w:rsid w:val="006318C6"/>
    <w:rsid w:val="00652516"/>
    <w:rsid w:val="006E6282"/>
    <w:rsid w:val="0074101D"/>
    <w:rsid w:val="0077446C"/>
    <w:rsid w:val="007A17A5"/>
    <w:rsid w:val="007C12D7"/>
    <w:rsid w:val="007C5721"/>
    <w:rsid w:val="007D65ED"/>
    <w:rsid w:val="00817CC3"/>
    <w:rsid w:val="008202B7"/>
    <w:rsid w:val="008304AC"/>
    <w:rsid w:val="00833474"/>
    <w:rsid w:val="00836788"/>
    <w:rsid w:val="00837E17"/>
    <w:rsid w:val="008A4912"/>
    <w:rsid w:val="00905218"/>
    <w:rsid w:val="0092632D"/>
    <w:rsid w:val="00936719"/>
    <w:rsid w:val="00944241"/>
    <w:rsid w:val="009B28DF"/>
    <w:rsid w:val="009E3105"/>
    <w:rsid w:val="00A20D0F"/>
    <w:rsid w:val="00B15381"/>
    <w:rsid w:val="00B41C1C"/>
    <w:rsid w:val="00B84976"/>
    <w:rsid w:val="00B92FC9"/>
    <w:rsid w:val="00BA4E81"/>
    <w:rsid w:val="00BB035A"/>
    <w:rsid w:val="00BE4BB6"/>
    <w:rsid w:val="00BF6D7E"/>
    <w:rsid w:val="00C34686"/>
    <w:rsid w:val="00C41E71"/>
    <w:rsid w:val="00C97353"/>
    <w:rsid w:val="00CC1D9B"/>
    <w:rsid w:val="00CE4A37"/>
    <w:rsid w:val="00D4085C"/>
    <w:rsid w:val="00D64652"/>
    <w:rsid w:val="00DE05D6"/>
    <w:rsid w:val="00E325DE"/>
    <w:rsid w:val="00EB5945"/>
    <w:rsid w:val="00EC0DA7"/>
    <w:rsid w:val="00F73372"/>
    <w:rsid w:val="00FE647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6C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6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6C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621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3B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21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8872D-7673-44D4-951A-3C6E514E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DimitrijS</dc:creator>
  <cp:keywords/>
  <dc:description/>
  <cp:lastModifiedBy>Dimitrij Sušanj</cp:lastModifiedBy>
  <cp:revision>41</cp:revision>
  <cp:lastPrinted>2014-09-05T07:29:00Z</cp:lastPrinted>
  <dcterms:created xsi:type="dcterms:W3CDTF">2014-01-13T14:52:00Z</dcterms:created>
  <dcterms:modified xsi:type="dcterms:W3CDTF">2015-09-08T12:24:00Z</dcterms:modified>
</cp:coreProperties>
</file>